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80392" w14:textId="29B3D656" w:rsidR="00F907E1" w:rsidRPr="00F907E1" w:rsidRDefault="00F907E1" w:rsidP="2C48FA06">
      <w:pPr>
        <w:spacing w:line="276" w:lineRule="auto"/>
        <w:jc w:val="right"/>
        <w:rPr>
          <w:rFonts w:eastAsia="Times New Roman"/>
        </w:rPr>
      </w:pPr>
      <w:r w:rsidRPr="2C48FA06">
        <w:rPr>
          <w:rFonts w:eastAsia="Times New Roman"/>
        </w:rPr>
        <w:t xml:space="preserve">Załącznik nr </w:t>
      </w:r>
      <w:r w:rsidR="0F23C7CE" w:rsidRPr="2C48FA06">
        <w:rPr>
          <w:rFonts w:eastAsia="Times New Roman"/>
        </w:rPr>
        <w:t xml:space="preserve">1 </w:t>
      </w:r>
      <w:r w:rsidRPr="2C48FA06">
        <w:rPr>
          <w:rFonts w:eastAsia="Times New Roman"/>
        </w:rPr>
        <w:t>do Zaproszenia</w:t>
      </w:r>
    </w:p>
    <w:p w14:paraId="720EDBAF" w14:textId="30E2F3AF" w:rsidR="1F991FB3" w:rsidRDefault="1F991FB3" w:rsidP="2C48FA06">
      <w:pPr>
        <w:spacing w:line="276" w:lineRule="auto"/>
        <w:jc w:val="right"/>
      </w:pPr>
      <w:r w:rsidRPr="2C48FA06">
        <w:rPr>
          <w:rFonts w:ascii="Calibri" w:eastAsia="Calibri" w:hAnsi="Calibri" w:cs="Calibri"/>
        </w:rPr>
        <w:t>RZZ.271.2.2026.GW</w:t>
      </w:r>
    </w:p>
    <w:p w14:paraId="4CF53F81" w14:textId="77777777" w:rsidR="00F907E1" w:rsidRPr="00F907E1" w:rsidRDefault="00F907E1" w:rsidP="00F907E1">
      <w:pPr>
        <w:spacing w:line="276" w:lineRule="auto"/>
        <w:rPr>
          <w:rFonts w:ascii="Calibri" w:eastAsia="Times New Roman" w:hAnsi="Calibri" w:cs="Calibri"/>
          <w:bCs/>
          <w:sz w:val="24"/>
          <w:szCs w:val="24"/>
        </w:rPr>
      </w:pPr>
    </w:p>
    <w:p w14:paraId="1447526A" w14:textId="2E354718" w:rsidR="00D146F3" w:rsidRPr="00F907E1" w:rsidRDefault="00D146F3" w:rsidP="00D146F3">
      <w:pPr>
        <w:spacing w:line="276" w:lineRule="auto"/>
        <w:jc w:val="center"/>
        <w:rPr>
          <w:rFonts w:ascii="Calibri" w:eastAsia="Times New Roman" w:hAnsi="Calibri" w:cs="Calibri"/>
          <w:bCs/>
          <w:sz w:val="24"/>
          <w:szCs w:val="24"/>
        </w:rPr>
      </w:pPr>
      <w:r w:rsidRPr="00F907E1">
        <w:rPr>
          <w:rFonts w:ascii="Calibri" w:eastAsia="Times New Roman" w:hAnsi="Calibri" w:cs="Calibri"/>
          <w:bCs/>
          <w:sz w:val="24"/>
          <w:szCs w:val="24"/>
        </w:rPr>
        <w:t xml:space="preserve">OPIS PRZEDMIOTU ZAMÓWIENIA </w:t>
      </w:r>
    </w:p>
    <w:p w14:paraId="0F31611C" w14:textId="77777777" w:rsidR="00D146F3" w:rsidRPr="00F907E1" w:rsidRDefault="00D146F3" w:rsidP="00155FE0">
      <w:pPr>
        <w:spacing w:after="0" w:line="276" w:lineRule="auto"/>
        <w:jc w:val="center"/>
        <w:rPr>
          <w:rFonts w:ascii="Calibri" w:eastAsia="Times New Roman" w:hAnsi="Calibri" w:cs="Calibri"/>
          <w:sz w:val="24"/>
          <w:szCs w:val="24"/>
        </w:rPr>
      </w:pPr>
    </w:p>
    <w:p w14:paraId="203DD507" w14:textId="77777777" w:rsidR="00F907E1" w:rsidRDefault="00F907E1" w:rsidP="00F907E1">
      <w:pPr>
        <w:spacing w:after="0" w:line="276" w:lineRule="auto"/>
        <w:jc w:val="center"/>
        <w:rPr>
          <w:rFonts w:ascii="Calibri" w:eastAsia="Times New Roman" w:hAnsi="Calibri" w:cs="Calibri"/>
          <w:sz w:val="24"/>
          <w:szCs w:val="24"/>
        </w:rPr>
      </w:pPr>
      <w:r w:rsidRPr="00F907E1">
        <w:rPr>
          <w:rFonts w:ascii="Calibri" w:eastAsia="Times New Roman" w:hAnsi="Calibri" w:cs="Calibri"/>
          <w:sz w:val="24"/>
          <w:szCs w:val="24"/>
        </w:rPr>
        <w:t>„Wynajem 138 sieciowych dystrybutorów wody pitnej w 52 Jednostkach obsługiwanych przez Centrum Usług Wspólnych w Dąbrowie Górniczej”  </w:t>
      </w:r>
    </w:p>
    <w:p w14:paraId="161DBC75" w14:textId="77777777" w:rsidR="00F907E1" w:rsidRPr="00F907E1" w:rsidRDefault="00F907E1" w:rsidP="00F907E1">
      <w:pPr>
        <w:spacing w:after="0" w:line="276" w:lineRule="auto"/>
        <w:jc w:val="center"/>
        <w:rPr>
          <w:rFonts w:ascii="Calibri" w:eastAsia="Times New Roman" w:hAnsi="Calibri" w:cs="Calibri"/>
          <w:sz w:val="24"/>
          <w:szCs w:val="24"/>
        </w:rPr>
      </w:pPr>
    </w:p>
    <w:p w14:paraId="1A55F82E" w14:textId="77777777" w:rsidR="00F907E1" w:rsidRPr="00A14E2B" w:rsidRDefault="00F907E1" w:rsidP="00155FE0">
      <w:pPr>
        <w:spacing w:after="0" w:line="276" w:lineRule="auto"/>
        <w:jc w:val="center"/>
        <w:rPr>
          <w:rFonts w:ascii="Calibri" w:eastAsia="Times New Roman" w:hAnsi="Calibri" w:cs="Calibri"/>
          <w:bCs/>
        </w:rPr>
      </w:pPr>
    </w:p>
    <w:p w14:paraId="78BFAFBA" w14:textId="77777777" w:rsidR="00FC5210" w:rsidRPr="00FC5210" w:rsidRDefault="00FC5210" w:rsidP="00394F56">
      <w:pPr>
        <w:jc w:val="both"/>
        <w:rPr>
          <w:rFonts w:ascii="Calibri" w:hAnsi="Calibri" w:cs="Calibri"/>
          <w:b/>
          <w:bCs/>
        </w:rPr>
      </w:pPr>
      <w:r w:rsidRPr="00FC5210">
        <w:rPr>
          <w:rFonts w:ascii="Calibri" w:hAnsi="Calibri" w:cs="Calibri"/>
          <w:b/>
          <w:bCs/>
        </w:rPr>
        <w:t>1. Przedmiot zamówienia</w:t>
      </w:r>
    </w:p>
    <w:p w14:paraId="6CC57BC3" w14:textId="77777777" w:rsidR="00FC5210" w:rsidRPr="00A14E2B" w:rsidRDefault="00FC5210" w:rsidP="00394F56">
      <w:pPr>
        <w:jc w:val="both"/>
        <w:rPr>
          <w:rFonts w:ascii="Calibri" w:hAnsi="Calibri" w:cs="Calibri"/>
          <w:bCs/>
        </w:rPr>
      </w:pPr>
      <w:r w:rsidRPr="00FC5210">
        <w:rPr>
          <w:rFonts w:ascii="Calibri" w:hAnsi="Calibri" w:cs="Calibri"/>
          <w:bCs/>
        </w:rPr>
        <w:t>Przedmiotem zamówienia jest wynajem 138 wolnostojących, sieciowych dystrybutorów wody pitnej wraz z ich dostawą, montażem, uruchomieniem, serwisem oraz bieżącą obsługą eksploatacyjną, w 52 Jednostkach obsługiwanych przez Centrum Usług Wspólnych w Dąbrowie Górniczej.</w:t>
      </w:r>
    </w:p>
    <w:p w14:paraId="5000304E" w14:textId="7548E950" w:rsidR="00A14E2B" w:rsidRPr="00A14E2B" w:rsidRDefault="26CECDA4" w:rsidP="5DC553AB">
      <w:pPr>
        <w:jc w:val="both"/>
        <w:rPr>
          <w:rFonts w:ascii="Calibri" w:hAnsi="Calibri" w:cs="Calibri"/>
        </w:rPr>
      </w:pPr>
      <w:r w:rsidRPr="5DC553AB">
        <w:rPr>
          <w:rFonts w:ascii="Calibri" w:hAnsi="Calibri" w:cs="Calibri"/>
        </w:rPr>
        <w:t>Po wyłonieniu W</w:t>
      </w:r>
      <w:r w:rsidR="6C5EA5E7" w:rsidRPr="5DC553AB">
        <w:rPr>
          <w:rFonts w:ascii="Calibri" w:hAnsi="Calibri" w:cs="Calibri"/>
        </w:rPr>
        <w:t>y</w:t>
      </w:r>
      <w:r w:rsidR="1C247FBB" w:rsidRPr="5DC553AB">
        <w:rPr>
          <w:rFonts w:ascii="Calibri" w:hAnsi="Calibri" w:cs="Calibri"/>
        </w:rPr>
        <w:t xml:space="preserve">konawcy </w:t>
      </w:r>
      <w:r w:rsidR="1C247FBB" w:rsidRPr="5DC553AB">
        <w:rPr>
          <w:rFonts w:ascii="Calibri" w:eastAsia="Calibri" w:hAnsi="Calibri" w:cs="Calibri"/>
        </w:rPr>
        <w:t>(zwany</w:t>
      </w:r>
      <w:r w:rsidR="2739BD7B" w:rsidRPr="5DC553AB">
        <w:rPr>
          <w:rFonts w:ascii="Calibri" w:eastAsia="Calibri" w:hAnsi="Calibri" w:cs="Calibri"/>
        </w:rPr>
        <w:t>m</w:t>
      </w:r>
      <w:r w:rsidR="1C247FBB" w:rsidRPr="5DC553AB">
        <w:rPr>
          <w:rFonts w:ascii="Calibri" w:eastAsia="Calibri" w:hAnsi="Calibri" w:cs="Calibri"/>
        </w:rPr>
        <w:t xml:space="preserve"> zamiennie </w:t>
      </w:r>
      <w:r w:rsidR="00025600">
        <w:rPr>
          <w:rFonts w:ascii="Calibri" w:eastAsia="Calibri" w:hAnsi="Calibri" w:cs="Calibri"/>
        </w:rPr>
        <w:t>Wynajmującym</w:t>
      </w:r>
      <w:r w:rsidR="1C247FBB" w:rsidRPr="5DC553AB">
        <w:rPr>
          <w:rFonts w:ascii="Calibri" w:eastAsia="Calibri" w:hAnsi="Calibri" w:cs="Calibri"/>
        </w:rPr>
        <w:t>)</w:t>
      </w:r>
      <w:r w:rsidR="1C247FBB" w:rsidRPr="5DC553AB">
        <w:rPr>
          <w:rFonts w:ascii="Calibri" w:hAnsi="Calibri" w:cs="Calibri"/>
        </w:rPr>
        <w:t xml:space="preserve"> </w:t>
      </w:r>
      <w:r w:rsidRPr="5DC553AB">
        <w:rPr>
          <w:rFonts w:ascii="Calibri" w:hAnsi="Calibri" w:cs="Calibri"/>
        </w:rPr>
        <w:t xml:space="preserve">w toku postępowania o udzielenie Zamówienia, poszczególne umowy zostaną zawarte bezpośrednio pomiędzy wyłonionym </w:t>
      </w:r>
      <w:r w:rsidR="00025600">
        <w:rPr>
          <w:rFonts w:ascii="Calibri" w:hAnsi="Calibri" w:cs="Calibri"/>
        </w:rPr>
        <w:t>Wynajmującym</w:t>
      </w:r>
      <w:r w:rsidRPr="5DC553AB">
        <w:rPr>
          <w:rFonts w:ascii="Calibri" w:hAnsi="Calibri" w:cs="Calibri"/>
        </w:rPr>
        <w:t>, a każdym z Zamawiających</w:t>
      </w:r>
      <w:r w:rsidR="15A6AD15" w:rsidRPr="5DC553AB">
        <w:rPr>
          <w:rFonts w:ascii="Calibri" w:hAnsi="Calibri" w:cs="Calibri"/>
        </w:rPr>
        <w:t xml:space="preserve"> </w:t>
      </w:r>
      <w:r w:rsidR="15A6AD15" w:rsidRPr="5DC553AB">
        <w:rPr>
          <w:rFonts w:ascii="Calibri" w:eastAsia="Calibri" w:hAnsi="Calibri" w:cs="Calibri"/>
        </w:rPr>
        <w:t>(zwany</w:t>
      </w:r>
      <w:r w:rsidR="7BF31094" w:rsidRPr="5DC553AB">
        <w:rPr>
          <w:rFonts w:ascii="Calibri" w:eastAsia="Calibri" w:hAnsi="Calibri" w:cs="Calibri"/>
        </w:rPr>
        <w:t>m</w:t>
      </w:r>
      <w:r w:rsidR="15A6AD15" w:rsidRPr="5DC553AB">
        <w:rPr>
          <w:rFonts w:ascii="Calibri" w:eastAsia="Calibri" w:hAnsi="Calibri" w:cs="Calibri"/>
        </w:rPr>
        <w:t xml:space="preserve"> zamiennie </w:t>
      </w:r>
      <w:r w:rsidR="00025600">
        <w:rPr>
          <w:rFonts w:ascii="Calibri" w:eastAsia="Calibri" w:hAnsi="Calibri" w:cs="Calibri"/>
        </w:rPr>
        <w:t>Najemcą</w:t>
      </w:r>
      <w:r w:rsidR="15A6AD15" w:rsidRPr="5DC553AB">
        <w:rPr>
          <w:rFonts w:ascii="Calibri" w:eastAsia="Calibri" w:hAnsi="Calibri" w:cs="Calibri"/>
        </w:rPr>
        <w:t>)</w:t>
      </w:r>
      <w:r w:rsidR="2100018F" w:rsidRPr="5DC553AB">
        <w:rPr>
          <w:rFonts w:ascii="Calibri" w:hAnsi="Calibri" w:cs="Calibri"/>
        </w:rPr>
        <w:t xml:space="preserve"> </w:t>
      </w:r>
      <w:r w:rsidRPr="5DC553AB">
        <w:rPr>
          <w:rFonts w:ascii="Calibri" w:hAnsi="Calibri" w:cs="Calibri"/>
        </w:rPr>
        <w:t>osobno tj. jednostkami obsługiwanymi przez CUW</w:t>
      </w:r>
      <w:r w:rsidR="2DB6BFAB" w:rsidRPr="5DC553AB">
        <w:rPr>
          <w:rFonts w:ascii="Calibri" w:hAnsi="Calibri" w:cs="Calibri"/>
        </w:rPr>
        <w:t xml:space="preserve"> Załącznik nr 3 do Zaproszenia</w:t>
      </w:r>
    </w:p>
    <w:p w14:paraId="2DA757B0" w14:textId="77777777" w:rsidR="00FC5210" w:rsidRPr="00FC5210" w:rsidRDefault="00FC5210" w:rsidP="00394F56">
      <w:pPr>
        <w:jc w:val="both"/>
        <w:rPr>
          <w:rFonts w:ascii="Calibri" w:hAnsi="Calibri" w:cs="Calibri"/>
          <w:b/>
          <w:bCs/>
        </w:rPr>
      </w:pPr>
      <w:r w:rsidRPr="00FC5210">
        <w:rPr>
          <w:rFonts w:ascii="Calibri" w:hAnsi="Calibri" w:cs="Calibri"/>
          <w:b/>
          <w:bCs/>
        </w:rPr>
        <w:t>2. Wymagania ogólne</w:t>
      </w:r>
    </w:p>
    <w:p w14:paraId="63C634B0" w14:textId="77777777" w:rsidR="00A52318" w:rsidRPr="00A52318" w:rsidRDefault="00D810C9" w:rsidP="00394F56">
      <w:pPr>
        <w:numPr>
          <w:ilvl w:val="0"/>
          <w:numId w:val="17"/>
        </w:numPr>
        <w:jc w:val="both"/>
        <w:rPr>
          <w:rFonts w:ascii="Calibri" w:hAnsi="Calibri" w:cs="Calibri"/>
          <w:bCs/>
        </w:rPr>
      </w:pPr>
      <w:r>
        <w:t>Wszystkie urządzenia muszą być fabrycznie nowe, wolne od wad fizycznych i prawnych, kompletne oraz dopuszczone do obrotu na terytorium Rzeczypospolitej Polskiej.</w:t>
      </w:r>
    </w:p>
    <w:p w14:paraId="17116CE2" w14:textId="67FD3378" w:rsidR="00FC5210" w:rsidRPr="00FC5210" w:rsidRDefault="00FC5210" w:rsidP="00394F56">
      <w:pPr>
        <w:numPr>
          <w:ilvl w:val="0"/>
          <w:numId w:val="17"/>
        </w:numPr>
        <w:jc w:val="both"/>
        <w:rPr>
          <w:rFonts w:ascii="Calibri" w:hAnsi="Calibri" w:cs="Calibri"/>
          <w:bCs/>
        </w:rPr>
      </w:pPr>
      <w:r w:rsidRPr="00FC5210">
        <w:rPr>
          <w:rFonts w:ascii="Calibri" w:hAnsi="Calibri" w:cs="Calibri"/>
          <w:bCs/>
        </w:rPr>
        <w:t>Dystrybutory muszą spełniać wymagania określone w obowiązujących przepisach prawa, w</w:t>
      </w:r>
      <w:r w:rsidR="00025600">
        <w:rPr>
          <w:rFonts w:ascii="Calibri" w:hAnsi="Calibri" w:cs="Calibri"/>
          <w:bCs/>
        </w:rPr>
        <w:t> </w:t>
      </w:r>
      <w:r w:rsidRPr="00FC5210">
        <w:rPr>
          <w:rFonts w:ascii="Calibri" w:hAnsi="Calibri" w:cs="Calibri"/>
          <w:bCs/>
        </w:rPr>
        <w:t>szczególności:</w:t>
      </w:r>
    </w:p>
    <w:p w14:paraId="128AD047" w14:textId="7CDB6A2F" w:rsidR="00FC5210" w:rsidRPr="00A14E2B" w:rsidRDefault="00FC5210" w:rsidP="00394F56">
      <w:pPr>
        <w:pStyle w:val="Akapitzlist"/>
        <w:numPr>
          <w:ilvl w:val="1"/>
          <w:numId w:val="17"/>
        </w:numPr>
        <w:jc w:val="both"/>
        <w:rPr>
          <w:rFonts w:ascii="Calibri" w:hAnsi="Calibri" w:cs="Calibri"/>
          <w:bCs/>
        </w:rPr>
      </w:pPr>
      <w:r w:rsidRPr="00A14E2B">
        <w:rPr>
          <w:rFonts w:ascii="Calibri" w:hAnsi="Calibri" w:cs="Calibri"/>
          <w:bCs/>
        </w:rPr>
        <w:t>ustawie z dnia 7 czerwca 2001 r. o zbiorowym zaopatrzeniu w wodę i zbiorowym odprowadzaniu ścieków,</w:t>
      </w:r>
    </w:p>
    <w:p w14:paraId="7264F3C7" w14:textId="77777777" w:rsidR="00FC5210" w:rsidRPr="00FC5210" w:rsidRDefault="00FC5210" w:rsidP="00394F56">
      <w:pPr>
        <w:numPr>
          <w:ilvl w:val="1"/>
          <w:numId w:val="17"/>
        </w:numPr>
        <w:jc w:val="both"/>
        <w:rPr>
          <w:rFonts w:ascii="Calibri" w:hAnsi="Calibri" w:cs="Calibri"/>
          <w:bCs/>
        </w:rPr>
      </w:pPr>
      <w:r w:rsidRPr="00FC5210">
        <w:rPr>
          <w:rFonts w:ascii="Calibri" w:hAnsi="Calibri" w:cs="Calibri"/>
          <w:bCs/>
        </w:rPr>
        <w:t>Rozporządzeniu Ministra Zdrowia z dnia 7 grudnia 2017 r. w sprawie jakości wody przeznaczonej do spożycia przez ludzi,</w:t>
      </w:r>
    </w:p>
    <w:p w14:paraId="61AFD490" w14:textId="0BF8F3D2" w:rsidR="00FC5210" w:rsidRPr="00FC5210" w:rsidRDefault="007D5E01" w:rsidP="2C48FA06">
      <w:pPr>
        <w:numPr>
          <w:ilvl w:val="1"/>
          <w:numId w:val="17"/>
        </w:numPr>
        <w:jc w:val="both"/>
        <w:rPr>
          <w:rFonts w:ascii="Calibri" w:hAnsi="Calibri" w:cs="Calibri"/>
        </w:rPr>
      </w:pPr>
      <w:r>
        <w:t>przepisach sanitarnych i higienicznych oraz normach PN/EN mających zastosowanie do dystrybutorów wody pitnej, a także innym normom obowiązującym dla przedmiotu zamówienia.</w:t>
      </w:r>
    </w:p>
    <w:p w14:paraId="6F29D828" w14:textId="77777777" w:rsidR="00FC5210" w:rsidRPr="00670EBA" w:rsidRDefault="00FC5210" w:rsidP="2C48FA06">
      <w:pPr>
        <w:jc w:val="both"/>
        <w:rPr>
          <w:rFonts w:ascii="Calibri" w:hAnsi="Calibri" w:cs="Calibri"/>
        </w:rPr>
      </w:pPr>
      <w:r w:rsidRPr="2C48FA06">
        <w:rPr>
          <w:rFonts w:ascii="Calibri" w:hAnsi="Calibri" w:cs="Calibri"/>
        </w:rPr>
        <w:t>2. Wymagania techniczne dotyczące dystrybutorów</w:t>
      </w:r>
    </w:p>
    <w:p w14:paraId="33565B29" w14:textId="2903A3AA" w:rsidR="00FC5210" w:rsidRPr="00670EBA" w:rsidRDefault="00FC5210" w:rsidP="2C48FA06">
      <w:pPr>
        <w:numPr>
          <w:ilvl w:val="0"/>
          <w:numId w:val="13"/>
        </w:numPr>
        <w:jc w:val="both"/>
        <w:rPr>
          <w:rFonts w:ascii="Calibri" w:hAnsi="Calibri" w:cs="Calibri"/>
        </w:rPr>
      </w:pPr>
      <w:r w:rsidRPr="2C48FA06">
        <w:rPr>
          <w:rFonts w:ascii="Calibri" w:hAnsi="Calibri" w:cs="Calibri"/>
        </w:rPr>
        <w:t>Dystrybutory wolnostojące, przystosowane do bezpośredniego podłączenia do istniejącej sieci wodociągowej, instalowane w miejscu wskazanym przez Najemcę, przeznaczone do intensywnego użytkowania przez większą liczbę osób.</w:t>
      </w:r>
    </w:p>
    <w:p w14:paraId="376F3A97" w14:textId="77777777" w:rsidR="00FC5210" w:rsidRPr="00670EBA" w:rsidRDefault="00FC5210" w:rsidP="2C48FA06">
      <w:pPr>
        <w:numPr>
          <w:ilvl w:val="0"/>
          <w:numId w:val="13"/>
        </w:numPr>
        <w:jc w:val="both"/>
        <w:rPr>
          <w:rFonts w:ascii="Calibri" w:hAnsi="Calibri" w:cs="Calibri"/>
        </w:rPr>
      </w:pPr>
      <w:r w:rsidRPr="2C48FA06">
        <w:rPr>
          <w:rFonts w:ascii="Calibri" w:hAnsi="Calibri" w:cs="Calibri"/>
        </w:rPr>
        <w:t>Dystrybutory zapewniające podawanie wody w temperaturze pokojowej.</w:t>
      </w:r>
    </w:p>
    <w:p w14:paraId="1CF1428A" w14:textId="2C4719F0" w:rsidR="00A52318" w:rsidRDefault="00A52318" w:rsidP="2C48FA06">
      <w:pPr>
        <w:numPr>
          <w:ilvl w:val="0"/>
          <w:numId w:val="13"/>
        </w:numPr>
        <w:jc w:val="both"/>
        <w:rPr>
          <w:rFonts w:ascii="Calibri" w:hAnsi="Calibri" w:cs="Calibri"/>
        </w:rPr>
      </w:pPr>
      <w:r w:rsidRPr="2C48FA06">
        <w:t xml:space="preserve">Dystrybutory wody typu POU muszą być wyposażone w czterostopniowy system filtracji wody typu H15 PA lub równoważny, spełniający wymagania określone niniejszym OPZ, umieszczony w obudowie wykonanej z kopolimeru odpornego na działanie temperatury oraz uszkodzenia mechaniczne. System filtracji musi zapewniać poziom filtracji co najmniej 1 mikron oraz </w:t>
      </w:r>
      <w:r w:rsidRPr="2C48FA06">
        <w:lastRenderedPageBreak/>
        <w:t>żywotność filtra nie mniejszą niż 6000 litrów przefiltrowanej wody lub 12 miesięcy użytkowania (w zależności od tego, co nastąpi wcześniej). Filtr musi usuwać zanieczyszczenia stałe, redukować zawartość chloru, metali ciężkich oraz substancji organicznych, a także ograniczać powstawanie osadów wapiennych i zapobiegać osadzaniu się związków wapnia na elementach wewnętrznych urządzenia.</w:t>
      </w:r>
      <w:r w:rsidR="67EF29ED" w:rsidRPr="2C48FA06">
        <w:rPr>
          <w:rFonts w:ascii="Calibri" w:hAnsi="Calibri" w:cs="Calibri"/>
        </w:rPr>
        <w:t xml:space="preserve"> </w:t>
      </w:r>
    </w:p>
    <w:p w14:paraId="47A5F2D8" w14:textId="212C0EA3" w:rsidR="266B7F4E" w:rsidRPr="00025600" w:rsidRDefault="00B343F7" w:rsidP="00025600">
      <w:pPr>
        <w:pStyle w:val="NormalnyWeb"/>
        <w:numPr>
          <w:ilvl w:val="0"/>
          <w:numId w:val="13"/>
        </w:numPr>
        <w:jc w:val="both"/>
        <w:rPr>
          <w:rFonts w:ascii="Calibri" w:hAnsi="Calibri" w:cs="Calibri"/>
          <w:sz w:val="22"/>
          <w:szCs w:val="22"/>
        </w:rPr>
      </w:pPr>
      <w:r w:rsidRPr="2C48FA06">
        <w:rPr>
          <w:rFonts w:ascii="Calibri" w:hAnsi="Calibri" w:cs="Calibri"/>
          <w:sz w:val="22"/>
          <w:szCs w:val="22"/>
        </w:rPr>
        <w:t xml:space="preserve">Dystrybutory muszą być przystosowane do </w:t>
      </w:r>
      <w:r w:rsidRPr="2C48FA06">
        <w:rPr>
          <w:rFonts w:ascii="Calibri" w:eastAsiaTheme="minorEastAsia" w:hAnsi="Calibri" w:cs="Calibri"/>
          <w:sz w:val="22"/>
          <w:szCs w:val="22"/>
        </w:rPr>
        <w:t>wygodnego poboru wody do bidonów i butelek wielokrotnego użytku</w:t>
      </w:r>
    </w:p>
    <w:p w14:paraId="53AC8887" w14:textId="5AA0855F" w:rsidR="00FC5210" w:rsidRPr="00FC5210" w:rsidRDefault="00FC5210" w:rsidP="00394F56">
      <w:pPr>
        <w:jc w:val="both"/>
        <w:rPr>
          <w:rFonts w:ascii="Calibri" w:hAnsi="Calibri" w:cs="Calibri"/>
          <w:b/>
          <w:bCs/>
        </w:rPr>
      </w:pPr>
      <w:r w:rsidRPr="00FC5210">
        <w:rPr>
          <w:rFonts w:ascii="Calibri" w:hAnsi="Calibri" w:cs="Calibri"/>
          <w:b/>
          <w:bCs/>
        </w:rPr>
        <w:t>3. Dostawa, montaż i uruchomienie</w:t>
      </w:r>
    </w:p>
    <w:p w14:paraId="1CFE940A" w14:textId="77777777" w:rsidR="00FC5210" w:rsidRPr="00FC5210" w:rsidRDefault="00FC5210" w:rsidP="00394F56">
      <w:pPr>
        <w:numPr>
          <w:ilvl w:val="0"/>
          <w:numId w:val="14"/>
        </w:numPr>
        <w:jc w:val="both"/>
        <w:rPr>
          <w:rFonts w:ascii="Calibri" w:hAnsi="Calibri" w:cs="Calibri"/>
          <w:bCs/>
        </w:rPr>
      </w:pPr>
      <w:r w:rsidRPr="00FC5210">
        <w:rPr>
          <w:rFonts w:ascii="Calibri" w:hAnsi="Calibri" w:cs="Calibri"/>
          <w:bCs/>
        </w:rPr>
        <w:t>Wynajmujący zobowiązany jest do:</w:t>
      </w:r>
    </w:p>
    <w:p w14:paraId="6D81F3CF" w14:textId="77777777" w:rsidR="00FC5210" w:rsidRPr="00FC5210" w:rsidRDefault="00FC5210" w:rsidP="00394F56">
      <w:pPr>
        <w:numPr>
          <w:ilvl w:val="1"/>
          <w:numId w:val="14"/>
        </w:numPr>
        <w:jc w:val="both"/>
        <w:rPr>
          <w:rFonts w:ascii="Calibri" w:hAnsi="Calibri" w:cs="Calibri"/>
          <w:bCs/>
        </w:rPr>
      </w:pPr>
      <w:r w:rsidRPr="00FC5210">
        <w:rPr>
          <w:rFonts w:ascii="Calibri" w:hAnsi="Calibri" w:cs="Calibri"/>
          <w:bCs/>
        </w:rPr>
        <w:t>samodzielnego dostarczenia dystrybutorów do budynków Najemcy,</w:t>
      </w:r>
    </w:p>
    <w:p w14:paraId="7524CD17" w14:textId="77777777" w:rsidR="0075419C" w:rsidRPr="00A14E2B" w:rsidRDefault="0075419C" w:rsidP="00394F56">
      <w:pPr>
        <w:numPr>
          <w:ilvl w:val="1"/>
          <w:numId w:val="14"/>
        </w:numPr>
        <w:jc w:val="both"/>
        <w:rPr>
          <w:rFonts w:ascii="Calibri" w:hAnsi="Calibri" w:cs="Calibri"/>
          <w:bCs/>
        </w:rPr>
      </w:pPr>
      <w:r w:rsidRPr="00A14E2B">
        <w:rPr>
          <w:rFonts w:ascii="Calibri" w:hAnsi="Calibri" w:cs="Calibri"/>
          <w:bCs/>
        </w:rPr>
        <w:t xml:space="preserve">montażu i uruchomienia urządzeń w miejscach wskazanych przez Zamawiającego, </w:t>
      </w:r>
    </w:p>
    <w:p w14:paraId="3A190AD2" w14:textId="3F59DA9F" w:rsidR="00FC5210" w:rsidRPr="00FC5210" w:rsidRDefault="00FC5210" w:rsidP="00394F56">
      <w:pPr>
        <w:numPr>
          <w:ilvl w:val="1"/>
          <w:numId w:val="14"/>
        </w:numPr>
        <w:jc w:val="both"/>
        <w:rPr>
          <w:rFonts w:ascii="Calibri" w:hAnsi="Calibri" w:cs="Calibri"/>
          <w:bCs/>
        </w:rPr>
      </w:pPr>
      <w:r w:rsidRPr="00FC5210">
        <w:rPr>
          <w:rFonts w:ascii="Calibri" w:hAnsi="Calibri" w:cs="Calibri"/>
          <w:bCs/>
        </w:rPr>
        <w:t>wykonania wszelkich czynności niezbędnych do ich uruchomienia i prawidłowego funkcjonowania.</w:t>
      </w:r>
    </w:p>
    <w:p w14:paraId="6DC0E5F7" w14:textId="77777777" w:rsidR="00FC5210" w:rsidRPr="00FC5210" w:rsidRDefault="00FC5210" w:rsidP="00394F56">
      <w:pPr>
        <w:numPr>
          <w:ilvl w:val="0"/>
          <w:numId w:val="14"/>
        </w:numPr>
        <w:jc w:val="both"/>
        <w:rPr>
          <w:rFonts w:ascii="Calibri" w:hAnsi="Calibri" w:cs="Calibri"/>
          <w:bCs/>
        </w:rPr>
      </w:pPr>
      <w:r w:rsidRPr="00FC5210">
        <w:rPr>
          <w:rFonts w:ascii="Calibri" w:hAnsi="Calibri" w:cs="Calibri"/>
          <w:bCs/>
        </w:rPr>
        <w:t>Zakres prac obejmuje w szczególności:</w:t>
      </w:r>
    </w:p>
    <w:p w14:paraId="1C43201B" w14:textId="77777777" w:rsidR="00FC5210" w:rsidRPr="00FC5210" w:rsidRDefault="00FC5210" w:rsidP="00394F56">
      <w:pPr>
        <w:numPr>
          <w:ilvl w:val="1"/>
          <w:numId w:val="14"/>
        </w:numPr>
        <w:jc w:val="both"/>
        <w:rPr>
          <w:rFonts w:ascii="Calibri" w:hAnsi="Calibri" w:cs="Calibri"/>
          <w:bCs/>
        </w:rPr>
      </w:pPr>
      <w:r w:rsidRPr="00FC5210">
        <w:rPr>
          <w:rFonts w:ascii="Calibri" w:hAnsi="Calibri" w:cs="Calibri"/>
          <w:bCs/>
        </w:rPr>
        <w:t>podłączenie dystrybutorów do istniejącej sieci wodociągowej,</w:t>
      </w:r>
    </w:p>
    <w:p w14:paraId="56336A86" w14:textId="77777777" w:rsidR="00FC5210" w:rsidRPr="00FC5210" w:rsidRDefault="00FC5210" w:rsidP="00394F56">
      <w:pPr>
        <w:numPr>
          <w:ilvl w:val="1"/>
          <w:numId w:val="14"/>
        </w:numPr>
        <w:jc w:val="both"/>
        <w:rPr>
          <w:rFonts w:ascii="Calibri" w:hAnsi="Calibri" w:cs="Calibri"/>
          <w:bCs/>
        </w:rPr>
      </w:pPr>
      <w:r w:rsidRPr="00FC5210">
        <w:rPr>
          <w:rFonts w:ascii="Calibri" w:hAnsi="Calibri" w:cs="Calibri"/>
          <w:bCs/>
        </w:rPr>
        <w:t>wykonanie dodatkowych prac montażowych, jeżeli okażą się konieczne dla prawidłowego działania urządzeń.</w:t>
      </w:r>
    </w:p>
    <w:p w14:paraId="0D8A71CC" w14:textId="7ED71C60" w:rsidR="00FC5210" w:rsidRDefault="00FC5210" w:rsidP="00394F56">
      <w:pPr>
        <w:numPr>
          <w:ilvl w:val="0"/>
          <w:numId w:val="14"/>
        </w:numPr>
        <w:jc w:val="both"/>
        <w:rPr>
          <w:rFonts w:ascii="Calibri" w:hAnsi="Calibri" w:cs="Calibri"/>
          <w:bCs/>
        </w:rPr>
      </w:pPr>
      <w:r w:rsidRPr="00FC5210">
        <w:rPr>
          <w:rFonts w:ascii="Calibri" w:hAnsi="Calibri" w:cs="Calibri"/>
          <w:bCs/>
        </w:rPr>
        <w:t>Wszystkie koszty związane z dostawą, montażem i uruchomieniem ponosi Wynajmujący.</w:t>
      </w:r>
    </w:p>
    <w:p w14:paraId="1D688B09" w14:textId="3265E81E" w:rsidR="00D810C9" w:rsidRPr="00AB28BB" w:rsidRDefault="00D810C9" w:rsidP="2C48FA06">
      <w:pPr>
        <w:numPr>
          <w:ilvl w:val="0"/>
          <w:numId w:val="14"/>
        </w:numPr>
        <w:jc w:val="both"/>
        <w:rPr>
          <w:rFonts w:ascii="Calibri" w:hAnsi="Calibri" w:cs="Calibri"/>
        </w:rPr>
      </w:pPr>
      <w:r w:rsidRPr="2C48FA06">
        <w:t>Wykonawca zobowiązany jest do przekazania Centrum Usług Wspólnych</w:t>
      </w:r>
      <w:r w:rsidR="00025600">
        <w:t xml:space="preserve"> w Dąbrowie Górniczej</w:t>
      </w:r>
      <w:r w:rsidRPr="2C48FA06">
        <w:t xml:space="preserve"> rejestru dostarczonych i zamontowanych dystrybutorów wody. Rejestr powinien zawierać co najmniej numer identyfikacyjny (np. nr seryjny) każdego urządzenia oraz wskazanie placówki, w której urządzenie zostało zamontowane, zgodnie z wykazem placówek stanowiącym Załącznik nr 3 do Zamówienia. Rejestr należy przekazać Centrum Usług Wspólnych</w:t>
      </w:r>
      <w:r w:rsidR="00025600">
        <w:t xml:space="preserve"> w Dąbrowie Górniczej</w:t>
      </w:r>
      <w:r w:rsidRPr="2C48FA06">
        <w:t xml:space="preserve"> po zakończeniu montażu urządzeń oraz aktualizować każdorazowo w przypadku zmian.</w:t>
      </w:r>
    </w:p>
    <w:p w14:paraId="19AE0B8E" w14:textId="0A6845D6" w:rsidR="00AB28BB" w:rsidRPr="00AB28BB" w:rsidRDefault="00AB28BB" w:rsidP="2C48FA06">
      <w:pPr>
        <w:numPr>
          <w:ilvl w:val="0"/>
          <w:numId w:val="14"/>
        </w:numPr>
        <w:jc w:val="both"/>
        <w:rPr>
          <w:rFonts w:ascii="Calibri" w:hAnsi="Calibri" w:cs="Calibri"/>
        </w:rPr>
      </w:pPr>
      <w:r w:rsidRPr="00AB28BB">
        <w:rPr>
          <w:rFonts w:ascii="Calibri" w:hAnsi="Calibri" w:cs="Calibri"/>
        </w:rPr>
        <w:t>Po instalacji i uruchomieniu dystrybutorów wody w lokalizacjach wskazanych przez Najemcę, Centrum Usług Wspólnych przeprowadzi na własny koszt badanie jakości wody. W przypadku stwierdzenia, że woda nie spełnia wymagań zdatności do spożycia, Wynajmujący zobowiązany będzie do niezwłocznego podjęcia działań mających na celu usunięcie nieprawidłowości i przywrócenie wymaganych parametrów jakościowych wody.</w:t>
      </w:r>
    </w:p>
    <w:p w14:paraId="133C4DCB" w14:textId="77777777" w:rsidR="00FC5210" w:rsidRPr="00FC5210" w:rsidRDefault="00FC5210" w:rsidP="00394F56">
      <w:pPr>
        <w:jc w:val="both"/>
        <w:rPr>
          <w:rFonts w:ascii="Calibri" w:hAnsi="Calibri" w:cs="Calibri"/>
          <w:b/>
          <w:bCs/>
        </w:rPr>
      </w:pPr>
      <w:r w:rsidRPr="00FC5210">
        <w:rPr>
          <w:rFonts w:ascii="Calibri" w:hAnsi="Calibri" w:cs="Calibri"/>
          <w:b/>
          <w:bCs/>
        </w:rPr>
        <w:t>4. Serwis, naprawy i zgłaszanie usterek</w:t>
      </w:r>
    </w:p>
    <w:p w14:paraId="0B811E72" w14:textId="6A9D5B26" w:rsidR="00FC5210" w:rsidRPr="00FC5210" w:rsidRDefault="00FC5210" w:rsidP="5DC553AB">
      <w:pPr>
        <w:numPr>
          <w:ilvl w:val="0"/>
          <w:numId w:val="15"/>
        </w:numPr>
        <w:jc w:val="both"/>
        <w:rPr>
          <w:rFonts w:ascii="Calibri" w:hAnsi="Calibri" w:cs="Calibri"/>
        </w:rPr>
      </w:pPr>
      <w:r w:rsidRPr="5DC553AB">
        <w:rPr>
          <w:rFonts w:ascii="Calibri" w:hAnsi="Calibri" w:cs="Calibri"/>
        </w:rPr>
        <w:t xml:space="preserve">Wynajmujący zobowiązuje się do </w:t>
      </w:r>
      <w:r w:rsidR="0075419C" w:rsidRPr="5DC553AB">
        <w:rPr>
          <w:rFonts w:ascii="Calibri" w:hAnsi="Calibri" w:cs="Calibri"/>
        </w:rPr>
        <w:t xml:space="preserve">nieodpłatnego </w:t>
      </w:r>
      <w:r w:rsidRPr="5DC553AB">
        <w:rPr>
          <w:rFonts w:ascii="Calibri" w:hAnsi="Calibri" w:cs="Calibri"/>
        </w:rPr>
        <w:t xml:space="preserve">usuwania usterek i awarii zainstalowanych </w:t>
      </w:r>
      <w:r w:rsidR="0075419C" w:rsidRPr="5DC553AB">
        <w:rPr>
          <w:rFonts w:ascii="Calibri" w:hAnsi="Calibri" w:cs="Calibri"/>
        </w:rPr>
        <w:t>dystrybutorów</w:t>
      </w:r>
      <w:r w:rsidRPr="5DC553AB">
        <w:rPr>
          <w:rFonts w:ascii="Calibri" w:hAnsi="Calibri" w:cs="Calibri"/>
        </w:rPr>
        <w:t xml:space="preserve"> (wraz z kosztami materiałów), wynikających z ich normalnego użytkowania, w</w:t>
      </w:r>
      <w:r w:rsidR="00025600">
        <w:rPr>
          <w:rFonts w:ascii="Calibri" w:hAnsi="Calibri" w:cs="Calibri"/>
        </w:rPr>
        <w:t> </w:t>
      </w:r>
      <w:r w:rsidRPr="5DC553AB">
        <w:rPr>
          <w:rFonts w:ascii="Calibri" w:hAnsi="Calibri" w:cs="Calibri"/>
        </w:rPr>
        <w:t xml:space="preserve">terminie do </w:t>
      </w:r>
      <w:r w:rsidR="54B643E7" w:rsidRPr="5DC553AB">
        <w:rPr>
          <w:rFonts w:ascii="Calibri" w:hAnsi="Calibri" w:cs="Calibri"/>
        </w:rPr>
        <w:t xml:space="preserve">3 dni roboczych </w:t>
      </w:r>
      <w:r w:rsidRPr="5DC553AB">
        <w:rPr>
          <w:rFonts w:ascii="Calibri" w:hAnsi="Calibri" w:cs="Calibri"/>
        </w:rPr>
        <w:t>od zgłoszenia, z wyłączeniem dni ustawowo wolnych od pracy.</w:t>
      </w:r>
    </w:p>
    <w:p w14:paraId="7379A9A4" w14:textId="4EAFADD7" w:rsidR="00FC5210" w:rsidRPr="00FC5210" w:rsidRDefault="00FC5210" w:rsidP="5DC553AB">
      <w:pPr>
        <w:numPr>
          <w:ilvl w:val="0"/>
          <w:numId w:val="15"/>
        </w:numPr>
        <w:jc w:val="both"/>
        <w:rPr>
          <w:rFonts w:ascii="Calibri" w:hAnsi="Calibri" w:cs="Calibri"/>
        </w:rPr>
      </w:pPr>
      <w:r w:rsidRPr="5DC553AB">
        <w:rPr>
          <w:rFonts w:ascii="Calibri" w:hAnsi="Calibri" w:cs="Calibri"/>
        </w:rPr>
        <w:t xml:space="preserve">W przypadku braku możliwości usunięcia usterki, Wynajmujący zobowiązany jest do wymiany niesprawnego dystrybutora na sprawny w terminie </w:t>
      </w:r>
      <w:r w:rsidR="396D69E6" w:rsidRPr="5DC553AB">
        <w:rPr>
          <w:rFonts w:ascii="Calibri" w:hAnsi="Calibri" w:cs="Calibri"/>
        </w:rPr>
        <w:t>3</w:t>
      </w:r>
      <w:r w:rsidRPr="5DC553AB">
        <w:rPr>
          <w:rFonts w:ascii="Calibri" w:hAnsi="Calibri" w:cs="Calibri"/>
        </w:rPr>
        <w:t xml:space="preserve"> dni roboczych od dnia stwierdzenia braku możliwości naprawy.</w:t>
      </w:r>
    </w:p>
    <w:p w14:paraId="173DD7DD" w14:textId="75FF6B79" w:rsidR="00FC5210" w:rsidRPr="00FC5210" w:rsidRDefault="00FC5210" w:rsidP="00394F56">
      <w:pPr>
        <w:numPr>
          <w:ilvl w:val="0"/>
          <w:numId w:val="15"/>
        </w:numPr>
        <w:jc w:val="both"/>
        <w:rPr>
          <w:rFonts w:ascii="Calibri" w:hAnsi="Calibri" w:cs="Calibri"/>
          <w:bCs/>
        </w:rPr>
      </w:pPr>
      <w:r w:rsidRPr="00FC5210">
        <w:rPr>
          <w:rFonts w:ascii="Calibri" w:hAnsi="Calibri" w:cs="Calibri"/>
          <w:bCs/>
        </w:rPr>
        <w:t>Zgłoszenia usterek lub awarii dokonywane będą</w:t>
      </w:r>
      <w:r w:rsidR="0075419C" w:rsidRPr="00A14E2B">
        <w:rPr>
          <w:rFonts w:ascii="Calibri" w:hAnsi="Calibri" w:cs="Calibri"/>
          <w:bCs/>
        </w:rPr>
        <w:t xml:space="preserve"> </w:t>
      </w:r>
      <w:r w:rsidRPr="00FC5210">
        <w:rPr>
          <w:rFonts w:ascii="Calibri" w:hAnsi="Calibri" w:cs="Calibri"/>
          <w:bCs/>
        </w:rPr>
        <w:t>telefonicznie lub</w:t>
      </w:r>
      <w:r w:rsidR="0075419C" w:rsidRPr="00A14E2B">
        <w:rPr>
          <w:rFonts w:ascii="Calibri" w:hAnsi="Calibri" w:cs="Calibri"/>
          <w:bCs/>
        </w:rPr>
        <w:t xml:space="preserve"> </w:t>
      </w:r>
      <w:r w:rsidRPr="00FC5210">
        <w:rPr>
          <w:rFonts w:ascii="Calibri" w:hAnsi="Calibri" w:cs="Calibri"/>
          <w:bCs/>
        </w:rPr>
        <w:t>drogą elektroniczną (e-mail).</w:t>
      </w:r>
    </w:p>
    <w:p w14:paraId="3A8EEF02" w14:textId="77777777" w:rsidR="00FC5210" w:rsidRPr="00FC5210" w:rsidRDefault="00FC5210" w:rsidP="00394F56">
      <w:pPr>
        <w:jc w:val="both"/>
        <w:rPr>
          <w:rFonts w:ascii="Calibri" w:hAnsi="Calibri" w:cs="Calibri"/>
          <w:b/>
          <w:bCs/>
        </w:rPr>
      </w:pPr>
      <w:r w:rsidRPr="00FC5210">
        <w:rPr>
          <w:rFonts w:ascii="Calibri" w:hAnsi="Calibri" w:cs="Calibri"/>
          <w:b/>
          <w:bCs/>
        </w:rPr>
        <w:lastRenderedPageBreak/>
        <w:t>5. Przeglądy techniczne, sanityzacja i konserwacja</w:t>
      </w:r>
    </w:p>
    <w:p w14:paraId="187402A2" w14:textId="3CC41FF2" w:rsidR="00FC5210" w:rsidRPr="00FC5210" w:rsidRDefault="00FC5210" w:rsidP="00394F56">
      <w:pPr>
        <w:numPr>
          <w:ilvl w:val="0"/>
          <w:numId w:val="16"/>
        </w:numPr>
        <w:jc w:val="both"/>
        <w:rPr>
          <w:rFonts w:ascii="Calibri" w:hAnsi="Calibri" w:cs="Calibri"/>
          <w:bCs/>
        </w:rPr>
      </w:pPr>
      <w:r w:rsidRPr="00FC5210">
        <w:rPr>
          <w:rFonts w:ascii="Calibri" w:hAnsi="Calibri" w:cs="Calibri"/>
          <w:bCs/>
        </w:rPr>
        <w:t xml:space="preserve">Wynajmujący </w:t>
      </w:r>
      <w:r w:rsidR="00394F56" w:rsidRPr="00A14E2B">
        <w:rPr>
          <w:rFonts w:ascii="Calibri" w:hAnsi="Calibri" w:cs="Calibri"/>
          <w:bCs/>
        </w:rPr>
        <w:t>zobowiązany jest do wykonywania przeglądów technicznych, sanityzacji oraz odkamieniania każdego dystrybutora, w tym tacki ociekowej, nie rzadziej niż raz na 6 miesięcy przez cały okres obowiązywania umowy.</w:t>
      </w:r>
    </w:p>
    <w:p w14:paraId="3595D1B3" w14:textId="7A5345AF" w:rsidR="00FC5210" w:rsidRPr="00FC5210" w:rsidRDefault="00FC5210" w:rsidP="5DC553AB">
      <w:pPr>
        <w:numPr>
          <w:ilvl w:val="0"/>
          <w:numId w:val="16"/>
        </w:numPr>
        <w:jc w:val="both"/>
        <w:rPr>
          <w:rFonts w:ascii="Calibri" w:hAnsi="Calibri" w:cs="Calibri"/>
        </w:rPr>
      </w:pPr>
      <w:r w:rsidRPr="5DC553AB">
        <w:rPr>
          <w:rFonts w:ascii="Calibri" w:hAnsi="Calibri" w:cs="Calibri"/>
        </w:rPr>
        <w:t>Terminy przeglądów i czynności konserwacyjnych będą uprzednio uzgadniane z</w:t>
      </w:r>
      <w:r w:rsidR="00025600">
        <w:rPr>
          <w:rFonts w:ascii="Calibri" w:hAnsi="Calibri" w:cs="Calibri"/>
        </w:rPr>
        <w:t> </w:t>
      </w:r>
      <w:r w:rsidR="1D32FD89" w:rsidRPr="5DC553AB">
        <w:rPr>
          <w:rFonts w:ascii="Calibri" w:hAnsi="Calibri" w:cs="Calibri"/>
        </w:rPr>
        <w:t>Zamawiającym</w:t>
      </w:r>
      <w:r w:rsidRPr="5DC553AB">
        <w:rPr>
          <w:rFonts w:ascii="Calibri" w:hAnsi="Calibri" w:cs="Calibri"/>
        </w:rPr>
        <w:t>.</w:t>
      </w:r>
    </w:p>
    <w:p w14:paraId="4F9A997E" w14:textId="37BC70C3" w:rsidR="00FC5210" w:rsidRPr="00FC5210" w:rsidRDefault="7C35BBAE" w:rsidP="6B161EF5">
      <w:pPr>
        <w:numPr>
          <w:ilvl w:val="0"/>
          <w:numId w:val="16"/>
        </w:numPr>
        <w:jc w:val="both"/>
        <w:rPr>
          <w:rFonts w:ascii="Calibri" w:hAnsi="Calibri" w:cs="Calibri"/>
        </w:rPr>
      </w:pPr>
      <w:r w:rsidRPr="2C48FA06">
        <w:rPr>
          <w:rFonts w:ascii="Calibri" w:hAnsi="Calibri" w:cs="Calibri"/>
        </w:rPr>
        <w:t>Wynajmujący zobowiązany jest do wymiany filtrów w dystrybutorach co 6 miesięcy</w:t>
      </w:r>
      <w:r w:rsidR="007D5E01" w:rsidRPr="2C48FA06">
        <w:rPr>
          <w:rFonts w:ascii="Calibri" w:hAnsi="Calibri" w:cs="Calibri"/>
        </w:rPr>
        <w:t xml:space="preserve"> </w:t>
      </w:r>
      <w:r w:rsidR="007D5E01">
        <w:t>lub po osiągnięciu maksymalnej przepustowości filtra w przypadku intensywnego użytkowania</w:t>
      </w:r>
      <w:r w:rsidRPr="2C48FA06">
        <w:rPr>
          <w:rFonts w:ascii="Calibri" w:hAnsi="Calibri" w:cs="Calibri"/>
        </w:rPr>
        <w:t>.</w:t>
      </w:r>
    </w:p>
    <w:p w14:paraId="78FF4BF7" w14:textId="77777777" w:rsidR="00FC5210" w:rsidRPr="00670EBA" w:rsidRDefault="00FC5210" w:rsidP="2C48FA06">
      <w:pPr>
        <w:numPr>
          <w:ilvl w:val="0"/>
          <w:numId w:val="16"/>
        </w:numPr>
        <w:jc w:val="both"/>
        <w:rPr>
          <w:rFonts w:ascii="Calibri" w:hAnsi="Calibri" w:cs="Calibri"/>
        </w:rPr>
      </w:pPr>
      <w:r w:rsidRPr="2C48FA06">
        <w:rPr>
          <w:rFonts w:ascii="Calibri" w:hAnsi="Calibri" w:cs="Calibri"/>
        </w:rPr>
        <w:t>Sanityzacja obejmuje w szczególności:</w:t>
      </w:r>
    </w:p>
    <w:p w14:paraId="751230B9" w14:textId="6DB90E45" w:rsidR="00FC5210" w:rsidRPr="00670EBA" w:rsidRDefault="00294EC2" w:rsidP="2C48FA06">
      <w:pPr>
        <w:numPr>
          <w:ilvl w:val="1"/>
          <w:numId w:val="16"/>
        </w:numPr>
        <w:jc w:val="both"/>
        <w:rPr>
          <w:rFonts w:ascii="Calibri" w:hAnsi="Calibri" w:cs="Calibri"/>
        </w:rPr>
      </w:pPr>
      <w:r w:rsidRPr="2C48FA06">
        <w:t>demontaż elementów mających stały kontakt z wodą (np. tacka ociekowa, wylewka, zbiornik wody</w:t>
      </w:r>
      <w:r w:rsidR="00FC5210" w:rsidRPr="2C48FA06">
        <w:rPr>
          <w:rFonts w:ascii="Calibri" w:hAnsi="Calibri" w:cs="Calibri"/>
        </w:rPr>
        <w:t>,</w:t>
      </w:r>
    </w:p>
    <w:p w14:paraId="692195A9" w14:textId="7C28ACF8" w:rsidR="00294EC2" w:rsidRPr="00670EBA" w:rsidRDefault="00294EC2" w:rsidP="2C48FA06">
      <w:pPr>
        <w:numPr>
          <w:ilvl w:val="1"/>
          <w:numId w:val="16"/>
        </w:numPr>
        <w:jc w:val="both"/>
        <w:rPr>
          <w:rFonts w:ascii="Calibri" w:hAnsi="Calibri" w:cs="Calibri"/>
        </w:rPr>
      </w:pPr>
      <w:r w:rsidRPr="2C48FA06">
        <w:t>mycie i odkamienianie elementów wodnych i wewnętrznych urządzeń przy użyciu środków zgodnych z dopuszczonymi normami sanitarnymi</w:t>
      </w:r>
    </w:p>
    <w:p w14:paraId="2DBE7EC1" w14:textId="5972D1A2" w:rsidR="00294EC2" w:rsidRPr="00670EBA" w:rsidRDefault="00294EC2" w:rsidP="2C48FA06">
      <w:pPr>
        <w:numPr>
          <w:ilvl w:val="1"/>
          <w:numId w:val="16"/>
        </w:numPr>
        <w:jc w:val="both"/>
        <w:rPr>
          <w:rFonts w:ascii="Calibri" w:hAnsi="Calibri" w:cs="Calibri"/>
        </w:rPr>
      </w:pPr>
      <w:r w:rsidRPr="2C48FA06">
        <w:t>dezynfekcję wszystkich elementów wodnych i powierzchni mających kontakt z wodą przy użyciu środków dezynfekujących dopuszczonych do kontaktu z wodą pitną</w:t>
      </w:r>
    </w:p>
    <w:p w14:paraId="1C1A9C1F" w14:textId="40A9B1A3" w:rsidR="00294EC2" w:rsidRPr="00670EBA" w:rsidRDefault="00294EC2" w:rsidP="2C48FA06">
      <w:pPr>
        <w:numPr>
          <w:ilvl w:val="1"/>
          <w:numId w:val="16"/>
        </w:numPr>
        <w:jc w:val="both"/>
        <w:rPr>
          <w:rFonts w:ascii="Calibri" w:hAnsi="Calibri" w:cs="Calibri"/>
        </w:rPr>
      </w:pPr>
      <w:r w:rsidRPr="2C48FA06">
        <w:t>wymianę elementów eksploatacyjnych, jeśli ich stan techniczny nie pozwala na dalszą bezpieczną eksploatację</w:t>
      </w:r>
    </w:p>
    <w:p w14:paraId="55E41BEC" w14:textId="6C67759E" w:rsidR="00FC5210" w:rsidRPr="00670EBA" w:rsidRDefault="00294EC2" w:rsidP="2C48FA06">
      <w:pPr>
        <w:numPr>
          <w:ilvl w:val="1"/>
          <w:numId w:val="16"/>
        </w:numPr>
        <w:jc w:val="both"/>
        <w:rPr>
          <w:rFonts w:ascii="Calibri" w:hAnsi="Calibri" w:cs="Calibri"/>
        </w:rPr>
      </w:pPr>
      <w:r w:rsidRPr="2C48FA06">
        <w:t>oczyszczenie i dezynfekcję zewnętrznych powierzchni dystrybutora dostępnych dla użytkowników</w:t>
      </w:r>
    </w:p>
    <w:p w14:paraId="496DBB51" w14:textId="0AB0937E" w:rsidR="00294EC2" w:rsidRPr="00670EBA" w:rsidRDefault="00294EC2" w:rsidP="2C48FA06">
      <w:pPr>
        <w:numPr>
          <w:ilvl w:val="1"/>
          <w:numId w:val="16"/>
        </w:numPr>
        <w:jc w:val="both"/>
        <w:rPr>
          <w:rFonts w:ascii="Calibri" w:hAnsi="Calibri" w:cs="Calibri"/>
        </w:rPr>
      </w:pPr>
      <w:r w:rsidRPr="2C48FA06">
        <w:t>sprawdzenie prawidłowego funkcjonowania dystrybutora po zakończeniu czynności, w tym drożności przepływu i szczelności podłączeń</w:t>
      </w:r>
    </w:p>
    <w:p w14:paraId="5F222555" w14:textId="323D5711" w:rsidR="2022A0C9" w:rsidRPr="00670EBA" w:rsidRDefault="2022A0C9" w:rsidP="2C48FA06">
      <w:pPr>
        <w:pStyle w:val="Akapitzlist"/>
        <w:numPr>
          <w:ilvl w:val="0"/>
          <w:numId w:val="16"/>
        </w:numPr>
        <w:jc w:val="both"/>
      </w:pPr>
      <w:r w:rsidRPr="2C48FA06">
        <w:t>Wykonawca zobowiązany jest, po każdej wykonanej sanityzacji dystrybutora wody, do pozostawienia u Zamawiającego dokumentu potwierdzającego wykonanie tych czynności lub do umieszczenia na dystrybutorze trwałej nalepki informacyjnej zawierającej co najmniej datę wykonania sanityzacji oraz oznaczenie Wykonawcy.</w:t>
      </w:r>
    </w:p>
    <w:p w14:paraId="0ABE912F" w14:textId="3DD2634B" w:rsidR="2F854472" w:rsidRDefault="2F854472" w:rsidP="5DC553AB">
      <w:pPr>
        <w:pStyle w:val="Akapitzlist"/>
        <w:numPr>
          <w:ilvl w:val="0"/>
          <w:numId w:val="16"/>
        </w:numPr>
        <w:jc w:val="both"/>
      </w:pPr>
      <w:r w:rsidRPr="5DC553AB">
        <w:t>W przypadku braku pozostawienia dokumentu potwierdzającego wykonanie sanityzacji lub braku umieszczenia nalepki informacyjnej, o której mowa powyżej, Zamawiający ma prawo uznać daną usługę za niewykonaną oraz odmówić zapłaty wynagrodzenia za tę usługę do czasu prawidłowego wykonania obowiązku przez Wykonawcę.</w:t>
      </w:r>
    </w:p>
    <w:p w14:paraId="4461412D" w14:textId="4A4169EB" w:rsidR="00A14E2B" w:rsidRPr="00A14E2B" w:rsidRDefault="00A14E2B" w:rsidP="00A14E2B">
      <w:pPr>
        <w:rPr>
          <w:rFonts w:ascii="Calibri" w:hAnsi="Calibri" w:cs="Calibri"/>
          <w:bCs/>
        </w:rPr>
      </w:pPr>
    </w:p>
    <w:p w14:paraId="20D18C62" w14:textId="620E3329" w:rsidR="0007534F" w:rsidRPr="00A14E2B" w:rsidRDefault="0007534F">
      <w:pPr>
        <w:rPr>
          <w:rFonts w:ascii="Calibri" w:hAnsi="Calibri" w:cs="Calibri"/>
          <w:bCs/>
        </w:rPr>
      </w:pPr>
    </w:p>
    <w:sectPr w:rsidR="0007534F" w:rsidRPr="00A14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353"/>
    <w:multiLevelType w:val="hybridMultilevel"/>
    <w:tmpl w:val="D3DC1B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37C4C22"/>
    <w:multiLevelType w:val="hybridMultilevel"/>
    <w:tmpl w:val="10EEB728"/>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1A0C8E"/>
    <w:multiLevelType w:val="multilevel"/>
    <w:tmpl w:val="EFB47D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heme="minorEastAsia" w:hAnsi="Calibri" w:cs="Calibr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D6BA7"/>
    <w:multiLevelType w:val="multilevel"/>
    <w:tmpl w:val="5E9AA9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93A79"/>
    <w:multiLevelType w:val="multilevel"/>
    <w:tmpl w:val="2CE833B2"/>
    <w:lvl w:ilvl="0">
      <w:start w:val="1"/>
      <w:numFmt w:val="upperRoman"/>
      <w:lvlText w:val="%1."/>
      <w:lvlJc w:val="righ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774F31"/>
    <w:multiLevelType w:val="multilevel"/>
    <w:tmpl w:val="885E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9301A"/>
    <w:multiLevelType w:val="multilevel"/>
    <w:tmpl w:val="179ACB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884DAB"/>
    <w:multiLevelType w:val="hybridMultilevel"/>
    <w:tmpl w:val="CF72FBF2"/>
    <w:lvl w:ilvl="0" w:tplc="04150001">
      <w:start w:val="1"/>
      <w:numFmt w:val="bullet"/>
      <w:lvlText w:val=""/>
      <w:lvlJc w:val="left"/>
      <w:pPr>
        <w:ind w:left="2925" w:hanging="360"/>
      </w:pPr>
      <w:rPr>
        <w:rFonts w:ascii="Symbol" w:hAnsi="Symbol" w:hint="default"/>
      </w:rPr>
    </w:lvl>
    <w:lvl w:ilvl="1" w:tplc="04150003" w:tentative="1">
      <w:start w:val="1"/>
      <w:numFmt w:val="bullet"/>
      <w:lvlText w:val="o"/>
      <w:lvlJc w:val="left"/>
      <w:pPr>
        <w:ind w:left="3645" w:hanging="360"/>
      </w:pPr>
      <w:rPr>
        <w:rFonts w:ascii="Courier New" w:hAnsi="Courier New" w:cs="Courier New" w:hint="default"/>
      </w:rPr>
    </w:lvl>
    <w:lvl w:ilvl="2" w:tplc="04150005" w:tentative="1">
      <w:start w:val="1"/>
      <w:numFmt w:val="bullet"/>
      <w:lvlText w:val=""/>
      <w:lvlJc w:val="left"/>
      <w:pPr>
        <w:ind w:left="4365" w:hanging="360"/>
      </w:pPr>
      <w:rPr>
        <w:rFonts w:ascii="Wingdings" w:hAnsi="Wingdings" w:hint="default"/>
      </w:rPr>
    </w:lvl>
    <w:lvl w:ilvl="3" w:tplc="04150001" w:tentative="1">
      <w:start w:val="1"/>
      <w:numFmt w:val="bullet"/>
      <w:lvlText w:val=""/>
      <w:lvlJc w:val="left"/>
      <w:pPr>
        <w:ind w:left="5085" w:hanging="360"/>
      </w:pPr>
      <w:rPr>
        <w:rFonts w:ascii="Symbol" w:hAnsi="Symbol" w:hint="default"/>
      </w:rPr>
    </w:lvl>
    <w:lvl w:ilvl="4" w:tplc="04150003" w:tentative="1">
      <w:start w:val="1"/>
      <w:numFmt w:val="bullet"/>
      <w:lvlText w:val="o"/>
      <w:lvlJc w:val="left"/>
      <w:pPr>
        <w:ind w:left="5805" w:hanging="360"/>
      </w:pPr>
      <w:rPr>
        <w:rFonts w:ascii="Courier New" w:hAnsi="Courier New" w:cs="Courier New" w:hint="default"/>
      </w:rPr>
    </w:lvl>
    <w:lvl w:ilvl="5" w:tplc="04150005" w:tentative="1">
      <w:start w:val="1"/>
      <w:numFmt w:val="bullet"/>
      <w:lvlText w:val=""/>
      <w:lvlJc w:val="left"/>
      <w:pPr>
        <w:ind w:left="6525" w:hanging="360"/>
      </w:pPr>
      <w:rPr>
        <w:rFonts w:ascii="Wingdings" w:hAnsi="Wingdings" w:hint="default"/>
      </w:rPr>
    </w:lvl>
    <w:lvl w:ilvl="6" w:tplc="04150001" w:tentative="1">
      <w:start w:val="1"/>
      <w:numFmt w:val="bullet"/>
      <w:lvlText w:val=""/>
      <w:lvlJc w:val="left"/>
      <w:pPr>
        <w:ind w:left="7245" w:hanging="360"/>
      </w:pPr>
      <w:rPr>
        <w:rFonts w:ascii="Symbol" w:hAnsi="Symbol" w:hint="default"/>
      </w:rPr>
    </w:lvl>
    <w:lvl w:ilvl="7" w:tplc="04150003" w:tentative="1">
      <w:start w:val="1"/>
      <w:numFmt w:val="bullet"/>
      <w:lvlText w:val="o"/>
      <w:lvlJc w:val="left"/>
      <w:pPr>
        <w:ind w:left="7965" w:hanging="360"/>
      </w:pPr>
      <w:rPr>
        <w:rFonts w:ascii="Courier New" w:hAnsi="Courier New" w:cs="Courier New" w:hint="default"/>
      </w:rPr>
    </w:lvl>
    <w:lvl w:ilvl="8" w:tplc="04150005" w:tentative="1">
      <w:start w:val="1"/>
      <w:numFmt w:val="bullet"/>
      <w:lvlText w:val=""/>
      <w:lvlJc w:val="left"/>
      <w:pPr>
        <w:ind w:left="8685" w:hanging="360"/>
      </w:pPr>
      <w:rPr>
        <w:rFonts w:ascii="Wingdings" w:hAnsi="Wingdings" w:hint="default"/>
      </w:rPr>
    </w:lvl>
  </w:abstractNum>
  <w:abstractNum w:abstractNumId="8" w15:restartNumberingAfterBreak="0">
    <w:nsid w:val="313A3D1C"/>
    <w:multiLevelType w:val="multilevel"/>
    <w:tmpl w:val="92CC0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7B4046"/>
    <w:multiLevelType w:val="hybridMultilevel"/>
    <w:tmpl w:val="DBB2BA8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96F1D30"/>
    <w:multiLevelType w:val="hybridMultilevel"/>
    <w:tmpl w:val="D690F4A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3EA17A74"/>
    <w:multiLevelType w:val="hybridMultilevel"/>
    <w:tmpl w:val="10469A78"/>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2" w15:restartNumberingAfterBreak="0">
    <w:nsid w:val="4271376F"/>
    <w:multiLevelType w:val="hybridMultilevel"/>
    <w:tmpl w:val="0BD0A950"/>
    <w:lvl w:ilvl="0" w:tplc="016AB60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D113A1"/>
    <w:multiLevelType w:val="hybridMultilevel"/>
    <w:tmpl w:val="6EAACC1E"/>
    <w:lvl w:ilvl="0" w:tplc="F112068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17D3506"/>
    <w:multiLevelType w:val="multilevel"/>
    <w:tmpl w:val="EA9E5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CD22C7"/>
    <w:multiLevelType w:val="hybridMultilevel"/>
    <w:tmpl w:val="F280C3FA"/>
    <w:lvl w:ilvl="0" w:tplc="3B94116E">
      <w:start w:val="3"/>
      <w:numFmt w:val="lowerLetter"/>
      <w:lvlText w:val="%1)"/>
      <w:lvlJc w:val="left"/>
      <w:pPr>
        <w:ind w:left="1845" w:hanging="360"/>
      </w:pPr>
      <w:rPr>
        <w:rFonts w:hint="default"/>
      </w:rPr>
    </w:lvl>
    <w:lvl w:ilvl="1" w:tplc="04150019" w:tentative="1">
      <w:start w:val="1"/>
      <w:numFmt w:val="lowerLetter"/>
      <w:lvlText w:val="%2."/>
      <w:lvlJc w:val="left"/>
      <w:pPr>
        <w:ind w:left="2565" w:hanging="360"/>
      </w:pPr>
    </w:lvl>
    <w:lvl w:ilvl="2" w:tplc="0415001B" w:tentative="1">
      <w:start w:val="1"/>
      <w:numFmt w:val="lowerRoman"/>
      <w:lvlText w:val="%3."/>
      <w:lvlJc w:val="right"/>
      <w:pPr>
        <w:ind w:left="3285" w:hanging="180"/>
      </w:pPr>
    </w:lvl>
    <w:lvl w:ilvl="3" w:tplc="0415000F" w:tentative="1">
      <w:start w:val="1"/>
      <w:numFmt w:val="decimal"/>
      <w:lvlText w:val="%4."/>
      <w:lvlJc w:val="left"/>
      <w:pPr>
        <w:ind w:left="4005" w:hanging="360"/>
      </w:pPr>
    </w:lvl>
    <w:lvl w:ilvl="4" w:tplc="04150019" w:tentative="1">
      <w:start w:val="1"/>
      <w:numFmt w:val="lowerLetter"/>
      <w:lvlText w:val="%5."/>
      <w:lvlJc w:val="left"/>
      <w:pPr>
        <w:ind w:left="4725" w:hanging="360"/>
      </w:pPr>
    </w:lvl>
    <w:lvl w:ilvl="5" w:tplc="0415001B" w:tentative="1">
      <w:start w:val="1"/>
      <w:numFmt w:val="lowerRoman"/>
      <w:lvlText w:val="%6."/>
      <w:lvlJc w:val="right"/>
      <w:pPr>
        <w:ind w:left="5445" w:hanging="180"/>
      </w:pPr>
    </w:lvl>
    <w:lvl w:ilvl="6" w:tplc="0415000F" w:tentative="1">
      <w:start w:val="1"/>
      <w:numFmt w:val="decimal"/>
      <w:lvlText w:val="%7."/>
      <w:lvlJc w:val="left"/>
      <w:pPr>
        <w:ind w:left="6165" w:hanging="360"/>
      </w:pPr>
    </w:lvl>
    <w:lvl w:ilvl="7" w:tplc="04150019" w:tentative="1">
      <w:start w:val="1"/>
      <w:numFmt w:val="lowerLetter"/>
      <w:lvlText w:val="%8."/>
      <w:lvlJc w:val="left"/>
      <w:pPr>
        <w:ind w:left="6885" w:hanging="360"/>
      </w:pPr>
    </w:lvl>
    <w:lvl w:ilvl="8" w:tplc="0415001B" w:tentative="1">
      <w:start w:val="1"/>
      <w:numFmt w:val="lowerRoman"/>
      <w:lvlText w:val="%9."/>
      <w:lvlJc w:val="right"/>
      <w:pPr>
        <w:ind w:left="7605" w:hanging="180"/>
      </w:pPr>
    </w:lvl>
  </w:abstractNum>
  <w:abstractNum w:abstractNumId="16" w15:restartNumberingAfterBreak="0">
    <w:nsid w:val="72811AE2"/>
    <w:multiLevelType w:val="hybridMultilevel"/>
    <w:tmpl w:val="AE4AD648"/>
    <w:lvl w:ilvl="0" w:tplc="4B707966">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73FD77AC"/>
    <w:multiLevelType w:val="hybridMultilevel"/>
    <w:tmpl w:val="B498A9F4"/>
    <w:lvl w:ilvl="0" w:tplc="3B94116E">
      <w:start w:val="3"/>
      <w:numFmt w:val="lowerLetter"/>
      <w:lvlText w:val="%1)"/>
      <w:lvlJc w:val="left"/>
      <w:pPr>
        <w:ind w:left="2925"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78745E73"/>
    <w:multiLevelType w:val="hybridMultilevel"/>
    <w:tmpl w:val="60040712"/>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07715246">
    <w:abstractNumId w:val="12"/>
  </w:num>
  <w:num w:numId="2" w16cid:durableId="1440642316">
    <w:abstractNumId w:val="4"/>
  </w:num>
  <w:num w:numId="3" w16cid:durableId="1962569647">
    <w:abstractNumId w:val="9"/>
  </w:num>
  <w:num w:numId="4" w16cid:durableId="156922667">
    <w:abstractNumId w:val="11"/>
  </w:num>
  <w:num w:numId="5" w16cid:durableId="1429892079">
    <w:abstractNumId w:val="0"/>
  </w:num>
  <w:num w:numId="6" w16cid:durableId="5835792">
    <w:abstractNumId w:val="15"/>
  </w:num>
  <w:num w:numId="7" w16cid:durableId="935288933">
    <w:abstractNumId w:val="17"/>
  </w:num>
  <w:num w:numId="8" w16cid:durableId="1577082676">
    <w:abstractNumId w:val="7"/>
  </w:num>
  <w:num w:numId="9" w16cid:durableId="896747059">
    <w:abstractNumId w:val="1"/>
  </w:num>
  <w:num w:numId="10" w16cid:durableId="858465494">
    <w:abstractNumId w:val="16"/>
  </w:num>
  <w:num w:numId="11" w16cid:durableId="1818840606">
    <w:abstractNumId w:val="13"/>
  </w:num>
  <w:num w:numId="12" w16cid:durableId="885531041">
    <w:abstractNumId w:val="10"/>
  </w:num>
  <w:num w:numId="13" w16cid:durableId="220679113">
    <w:abstractNumId w:val="8"/>
  </w:num>
  <w:num w:numId="14" w16cid:durableId="1185242529">
    <w:abstractNumId w:val="14"/>
  </w:num>
  <w:num w:numId="15" w16cid:durableId="1045786912">
    <w:abstractNumId w:val="6"/>
  </w:num>
  <w:num w:numId="16" w16cid:durableId="1506896834">
    <w:abstractNumId w:val="3"/>
  </w:num>
  <w:num w:numId="17" w16cid:durableId="463276078">
    <w:abstractNumId w:val="2"/>
  </w:num>
  <w:num w:numId="18" w16cid:durableId="1573537305">
    <w:abstractNumId w:val="5"/>
  </w:num>
  <w:num w:numId="19" w16cid:durableId="19807270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6F3"/>
    <w:rsid w:val="00025600"/>
    <w:rsid w:val="0007534F"/>
    <w:rsid w:val="000D468F"/>
    <w:rsid w:val="00155FE0"/>
    <w:rsid w:val="001E611F"/>
    <w:rsid w:val="00294EC2"/>
    <w:rsid w:val="002A150D"/>
    <w:rsid w:val="00315499"/>
    <w:rsid w:val="0032339F"/>
    <w:rsid w:val="00394F56"/>
    <w:rsid w:val="003A083E"/>
    <w:rsid w:val="003D3E7B"/>
    <w:rsid w:val="004B1D38"/>
    <w:rsid w:val="00571CFD"/>
    <w:rsid w:val="0057326B"/>
    <w:rsid w:val="005F55AD"/>
    <w:rsid w:val="0060789E"/>
    <w:rsid w:val="00670EBA"/>
    <w:rsid w:val="0073559B"/>
    <w:rsid w:val="00746E6D"/>
    <w:rsid w:val="0075419C"/>
    <w:rsid w:val="00772537"/>
    <w:rsid w:val="007D5E01"/>
    <w:rsid w:val="007E562F"/>
    <w:rsid w:val="00862A21"/>
    <w:rsid w:val="008D5E1B"/>
    <w:rsid w:val="00933C91"/>
    <w:rsid w:val="00954A6C"/>
    <w:rsid w:val="0097608F"/>
    <w:rsid w:val="00995CDE"/>
    <w:rsid w:val="009A3850"/>
    <w:rsid w:val="009E6140"/>
    <w:rsid w:val="00A14E2B"/>
    <w:rsid w:val="00A52318"/>
    <w:rsid w:val="00AB28BB"/>
    <w:rsid w:val="00B07356"/>
    <w:rsid w:val="00B343F7"/>
    <w:rsid w:val="00B42A3A"/>
    <w:rsid w:val="00B44DE2"/>
    <w:rsid w:val="00BA5236"/>
    <w:rsid w:val="00BE1A10"/>
    <w:rsid w:val="00D146F3"/>
    <w:rsid w:val="00D4608A"/>
    <w:rsid w:val="00D810C9"/>
    <w:rsid w:val="00DB583D"/>
    <w:rsid w:val="00DE29DF"/>
    <w:rsid w:val="00DF477A"/>
    <w:rsid w:val="00EC0409"/>
    <w:rsid w:val="00F348F6"/>
    <w:rsid w:val="00F55D72"/>
    <w:rsid w:val="00F907E1"/>
    <w:rsid w:val="00FC4C46"/>
    <w:rsid w:val="00FC5210"/>
    <w:rsid w:val="04E04998"/>
    <w:rsid w:val="092662B6"/>
    <w:rsid w:val="0F23C7CE"/>
    <w:rsid w:val="124B75FC"/>
    <w:rsid w:val="15A6AD15"/>
    <w:rsid w:val="1C247FBB"/>
    <w:rsid w:val="1D32FD89"/>
    <w:rsid w:val="1F991FB3"/>
    <w:rsid w:val="2022A0C9"/>
    <w:rsid w:val="2100018F"/>
    <w:rsid w:val="264D70A2"/>
    <w:rsid w:val="266B7F4E"/>
    <w:rsid w:val="26CECDA4"/>
    <w:rsid w:val="2739BD7B"/>
    <w:rsid w:val="2BC39236"/>
    <w:rsid w:val="2C48FA06"/>
    <w:rsid w:val="2DB6BFAB"/>
    <w:rsid w:val="2F854472"/>
    <w:rsid w:val="2FE6E835"/>
    <w:rsid w:val="34769ABF"/>
    <w:rsid w:val="3532AA40"/>
    <w:rsid w:val="396D69E6"/>
    <w:rsid w:val="3E616910"/>
    <w:rsid w:val="3F23EC83"/>
    <w:rsid w:val="3F587433"/>
    <w:rsid w:val="423AAB03"/>
    <w:rsid w:val="4892FDD7"/>
    <w:rsid w:val="4FE291B7"/>
    <w:rsid w:val="52B6A323"/>
    <w:rsid w:val="54B643E7"/>
    <w:rsid w:val="55CA7D12"/>
    <w:rsid w:val="5A8F4288"/>
    <w:rsid w:val="5CBB57F9"/>
    <w:rsid w:val="5D8C7468"/>
    <w:rsid w:val="5DC553AB"/>
    <w:rsid w:val="65743362"/>
    <w:rsid w:val="671FBE45"/>
    <w:rsid w:val="67EF29ED"/>
    <w:rsid w:val="69649667"/>
    <w:rsid w:val="6B161EF5"/>
    <w:rsid w:val="6C5EA5E7"/>
    <w:rsid w:val="6D3BE71A"/>
    <w:rsid w:val="75BF008A"/>
    <w:rsid w:val="7B841AAA"/>
    <w:rsid w:val="7BF31094"/>
    <w:rsid w:val="7C35B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0A2A"/>
  <w15:chartTrackingRefBased/>
  <w15:docId w15:val="{29556E15-5DF5-4E93-ADBD-26FF4733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D146F3"/>
    <w:rPr>
      <w:rFonts w:eastAsiaTheme="minorEastAsia"/>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wypunktowanie,Odstavec,ISCG Numerowanie,lp1,CW_Lista,maz_wyliczenie,opis dzialania,K-P_odwolanie,A_wyliczenie,Akapit z listą 1,Table of contents numbered,Akapit z listą5,Numerowanie,BulletC,Wyliczanie,Obiekt"/>
    <w:basedOn w:val="Normalny"/>
    <w:link w:val="AkapitzlistZnak"/>
    <w:uiPriority w:val="34"/>
    <w:qFormat/>
    <w:rsid w:val="00D146F3"/>
    <w:pPr>
      <w:ind w:left="720"/>
      <w:contextualSpacing/>
    </w:pPr>
  </w:style>
  <w:style w:type="character" w:customStyle="1" w:styleId="AkapitzlistZnak">
    <w:name w:val="Akapit z listą Znak"/>
    <w:aliases w:val="normalny tekst Znak,wypunktowanie Znak,Odstavec Znak,ISCG Numerowanie Znak,lp1 Znak,CW_Lista Znak,maz_wyliczenie Znak,opis dzialania Znak,K-P_odwolanie Znak,A_wyliczenie Znak,Akapit z listą 1 Znak,Table of contents numbered Znak"/>
    <w:link w:val="Akapitzlist"/>
    <w:uiPriority w:val="99"/>
    <w:qFormat/>
    <w:rsid w:val="00D146F3"/>
    <w:rPr>
      <w:rFonts w:eastAsiaTheme="minorEastAsia"/>
      <w:lang w:eastAsia="pl-PL"/>
    </w:rPr>
  </w:style>
  <w:style w:type="paragraph" w:styleId="Tekstdymka">
    <w:name w:val="Balloon Text"/>
    <w:basedOn w:val="Normalny"/>
    <w:link w:val="TekstdymkaZnak"/>
    <w:uiPriority w:val="99"/>
    <w:semiHidden/>
    <w:unhideWhenUsed/>
    <w:rsid w:val="003D3E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3E7B"/>
    <w:rPr>
      <w:rFonts w:ascii="Segoe UI" w:eastAsiaTheme="minorEastAsia" w:hAnsi="Segoe UI" w:cs="Segoe UI"/>
      <w:sz w:val="18"/>
      <w:szCs w:val="18"/>
      <w:lang w:eastAsia="pl-PL"/>
    </w:rPr>
  </w:style>
  <w:style w:type="paragraph" w:styleId="NormalnyWeb">
    <w:name w:val="Normal (Web)"/>
    <w:basedOn w:val="Normalny"/>
    <w:uiPriority w:val="99"/>
    <w:unhideWhenUsed/>
    <w:rsid w:val="00FC5210"/>
    <w:pPr>
      <w:spacing w:before="100" w:beforeAutospacing="1" w:after="100" w:afterAutospacing="1"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eastAsiaTheme="minorEastAsia"/>
      <w:sz w:val="20"/>
      <w:szCs w:val="20"/>
      <w:lang w:eastAsia="pl-PL"/>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294EC2"/>
    <w:rPr>
      <w:b/>
      <w:bCs/>
    </w:rPr>
  </w:style>
  <w:style w:type="character" w:customStyle="1" w:styleId="TematkomentarzaZnak">
    <w:name w:val="Temat komentarza Znak"/>
    <w:basedOn w:val="TekstkomentarzaZnak"/>
    <w:link w:val="Tematkomentarza"/>
    <w:uiPriority w:val="99"/>
    <w:semiHidden/>
    <w:rsid w:val="00294EC2"/>
    <w:rPr>
      <w:rFonts w:eastAsiaTheme="minorEastAsia"/>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aobowi_x0105_zywaniado xmlns="ebe2ce25-ce78-4345-a0c9-6bb1c4271db9" xsi:nil="true"/>
    <lcf76f155ced4ddcb4097134ff3c332f xmlns="ebe2ce25-ce78-4345-a0c9-6bb1c4271db9">
      <Terms xmlns="http://schemas.microsoft.com/office/infopath/2007/PartnerControls"/>
    </lcf76f155ced4ddcb4097134ff3c332f>
    <TaxCatchAll xmlns="732bebfc-cd2e-4498-a301-01dcb4569efc" xsi:nil="true"/>
    <Dataobowi_x0105_zywania xmlns="ebe2ce25-ce78-4345-a0c9-6bb1c4271db9" xsi:nil="true"/>
    <L_x002e_p_x002e_ xmlns="ebe2ce25-ce78-4345-a0c9-6bb1c4271db9">1</L_x002e_p_x002e_>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727322C173E614BAA6BF9D93AAABD29" ma:contentTypeVersion="21" ma:contentTypeDescription="Utwórz nowy dokument." ma:contentTypeScope="" ma:versionID="9dcd7b8405d129a2eb30654a7949343a">
  <xsd:schema xmlns:xsd="http://www.w3.org/2001/XMLSchema" xmlns:xs="http://www.w3.org/2001/XMLSchema" xmlns:p="http://schemas.microsoft.com/office/2006/metadata/properties" xmlns:ns2="ebe2ce25-ce78-4345-a0c9-6bb1c4271db9" xmlns:ns3="732bebfc-cd2e-4498-a301-01dcb4569efc" targetNamespace="http://schemas.microsoft.com/office/2006/metadata/properties" ma:root="true" ma:fieldsID="a6905aca41f38a7a1481645e5a17af1e" ns2:_="" ns3:_="">
    <xsd:import namespace="ebe2ce25-ce78-4345-a0c9-6bb1c4271db9"/>
    <xsd:import namespace="732bebfc-cd2e-4498-a301-01dcb4569e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L_x002e_p_x002e_" minOccurs="0"/>
                <xsd:element ref="ns2:Dataobowi_x0105_zywania" minOccurs="0"/>
                <xsd:element ref="ns2:Dataobowi_x0105_zywaniado"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2ce25-ce78-4345-a0c9-6bb1c4271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fa83d4e-00d7-453e-aa2b-bf7765b7e445" ma:termSetId="09814cd3-568e-fe90-9814-8d621ff8fb84" ma:anchorId="fba54fb3-c3e1-fe81-a776-ca4b69148c4d" ma:open="true" ma:isKeyword="false">
      <xsd:complexType>
        <xsd:sequence>
          <xsd:element ref="pc:Terms" minOccurs="0" maxOccurs="1"/>
        </xsd:sequence>
      </xsd:complexType>
    </xsd:element>
    <xsd:element name="L_x002e_p_x002e_" ma:index="23" nillable="true" ma:displayName="L.p." ma:default="1" ma:format="Dropdown" ma:internalName="L_x002e_p_x002e_" ma:percentage="FALSE">
      <xsd:simpleType>
        <xsd:restriction base="dms:Number"/>
      </xsd:simpleType>
    </xsd:element>
    <xsd:element name="Dataobowi_x0105_zywania" ma:index="24" nillable="true" ma:displayName="Data obowiązywania od" ma:format="DateOnly" ma:internalName="Dataobowi_x0105_zywania">
      <xsd:simpleType>
        <xsd:restriction base="dms:DateTime"/>
      </xsd:simpleType>
    </xsd:element>
    <xsd:element name="Dataobowi_x0105_zywaniado" ma:index="25" nillable="true" ma:displayName="Data obowiązywania do" ma:format="DateOnly" ma:internalName="Dataobowi_x0105_zywaniado">
      <xsd:simpleType>
        <xsd:restriction base="dms:DateTime"/>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2bebfc-cd2e-4498-a301-01dcb4569ef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3ede85fd-44dc-4191-98ca-ede4a0231930}" ma:internalName="TaxCatchAll" ma:showField="CatchAllData" ma:web="732bebfc-cd2e-4498-a301-01dcb4569e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E7777-F420-4890-9D5A-4D2AC69151F2}">
  <ds:schemaRefs>
    <ds:schemaRef ds:uri="http://schemas.microsoft.com/sharepoint/v3/contenttype/forms"/>
  </ds:schemaRefs>
</ds:datastoreItem>
</file>

<file path=customXml/itemProps2.xml><?xml version="1.0" encoding="utf-8"?>
<ds:datastoreItem xmlns:ds="http://schemas.openxmlformats.org/officeDocument/2006/customXml" ds:itemID="{ADB923AD-61DE-4566-BF6A-5B30784EB201}">
  <ds:schemaRefs>
    <ds:schemaRef ds:uri="http://schemas.microsoft.com/office/2006/metadata/properties"/>
    <ds:schemaRef ds:uri="http://schemas.microsoft.com/office/infopath/2007/PartnerControls"/>
    <ds:schemaRef ds:uri="ebe2ce25-ce78-4345-a0c9-6bb1c4271db9"/>
    <ds:schemaRef ds:uri="732bebfc-cd2e-4498-a301-01dcb4569efc"/>
  </ds:schemaRefs>
</ds:datastoreItem>
</file>

<file path=customXml/itemProps3.xml><?xml version="1.0" encoding="utf-8"?>
<ds:datastoreItem xmlns:ds="http://schemas.openxmlformats.org/officeDocument/2006/customXml" ds:itemID="{9D99DBB3-27F3-4EC7-9916-A3D4C3D90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2ce25-ce78-4345-a0c9-6bb1c4271db9"/>
    <ds:schemaRef ds:uri="732bebfc-cd2e-4498-a301-01dcb4569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954</Words>
  <Characters>5728</Characters>
  <Application>Microsoft Office Word</Application>
  <DocSecurity>0</DocSecurity>
  <Lines>47</Lines>
  <Paragraphs>13</Paragraphs>
  <ScaleCrop>false</ScaleCrop>
  <Company>AWL</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Strużyńska Anna</dc:creator>
  <cp:keywords/>
  <dc:description/>
  <cp:lastModifiedBy>Gabriela Wojtal - Cudak</cp:lastModifiedBy>
  <cp:revision>13</cp:revision>
  <cp:lastPrinted>2023-11-30T09:14:00Z</cp:lastPrinted>
  <dcterms:created xsi:type="dcterms:W3CDTF">2026-01-22T13:33:00Z</dcterms:created>
  <dcterms:modified xsi:type="dcterms:W3CDTF">2026-01-29T12:37:00Z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0x0101006727322C173E614BAA6BF9D93AAABD29</vt:lpwstr>
  </property>
  <property fmtid="{D5CDD505-2E9C-101B-9397-08002B2CF9AE}" pid="3" name="MediaServiceImageTags">
    <vt:lpwstr/>
  </property>
</Properties>
</file>